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9"/>
        <w:jc w:val="right"/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/>
    </w:p>
    <w:p>
      <w:pPr>
        <w:pStyle w:val="939"/>
        <w:jc w:val="right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39"/>
        <w:jc w:val="right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39"/>
        <w:jc w:val="center"/>
        <w:spacing w:line="360" w:lineRule="auto"/>
      </w:pPr>
      <w:r>
        <w:rPr>
          <w:bCs/>
          <w:sz w:val="28"/>
          <w:szCs w:val="28"/>
        </w:rPr>
        <w:t xml:space="preserve">ПРАВИТЕЛЬСТВО ЕВРЕЙСКОЙ АВТОНОМНОЙ ОБЛАСТИ</w:t>
      </w:r>
      <w:r>
        <w:rPr>
          <w:bCs/>
          <w:sz w:val="28"/>
          <w:szCs w:val="28"/>
        </w:rPr>
      </w:r>
      <w:r/>
    </w:p>
    <w:p>
      <w:pPr>
        <w:pStyle w:val="939"/>
        <w:jc w:val="center"/>
        <w:spacing w:line="360" w:lineRule="auto"/>
      </w:pPr>
      <w:r>
        <w:rPr>
          <w:bCs/>
          <w:sz w:val="28"/>
          <w:szCs w:val="28"/>
        </w:rPr>
        <w:t xml:space="preserve">ПОСТАНОВЛЕНИЕ</w:t>
      </w:r>
      <w:r>
        <w:rPr>
          <w:b/>
          <w:bCs/>
          <w:sz w:val="28"/>
          <w:szCs w:val="28"/>
        </w:rPr>
      </w:r>
      <w:r/>
    </w:p>
    <w:p>
      <w:pPr>
        <w:pStyle w:val="939"/>
      </w:pPr>
      <w:r>
        <w:rPr>
          <w:sz w:val="28"/>
          <w:szCs w:val="28"/>
        </w:rPr>
        <w:t xml:space="preserve"> ___________________                                                                            №_______</w:t>
      </w:r>
      <w:r>
        <w:rPr>
          <w:sz w:val="28"/>
          <w:szCs w:val="28"/>
        </w:rPr>
      </w:r>
      <w:r/>
    </w:p>
    <w:p>
      <w:pPr>
        <w:pStyle w:val="939"/>
        <w:ind w:firstLine="540"/>
        <w:jc w:val="center"/>
        <w:rPr>
          <w:b/>
          <w:bCs/>
        </w:rPr>
      </w:pPr>
      <w:r>
        <w:rPr>
          <w:sz w:val="28"/>
          <w:szCs w:val="28"/>
        </w:rPr>
        <w:t xml:space="preserve">г. Биробиджан</w:t>
      </w:r>
      <w:r>
        <w:rPr>
          <w:sz w:val="28"/>
          <w:szCs w:val="28"/>
        </w:rPr>
      </w:r>
      <w:r/>
    </w:p>
    <w:p>
      <w:pPr>
        <w:pStyle w:val="939"/>
        <w:jc w:val="both"/>
        <w:rPr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9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 внесении изменен</w:t>
      </w:r>
      <w:r>
        <w:rPr>
          <w:bCs/>
          <w:sz w:val="28"/>
          <w:szCs w:val="28"/>
        </w:rPr>
        <w:t xml:space="preserve">ий</w:t>
      </w:r>
      <w:r>
        <w:rPr>
          <w:bCs/>
          <w:sz w:val="28"/>
          <w:szCs w:val="28"/>
        </w:rPr>
        <w:t xml:space="preserve"> и дополнений </w:t>
      </w: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государственную </w:t>
      </w:r>
      <w:r>
        <w:fldChar w:fldCharType="begin"/>
      </w:r>
      <w:r>
        <w:instrText xml:space="preserve">HYPERLINK \l "Par77"</w:instrText>
      </w:r>
      <w:r>
        <w:fldChar w:fldCharType="separate"/>
      </w:r>
      <w:r>
        <w:rPr>
          <w:sz w:val="28"/>
          <w:szCs w:val="28"/>
        </w:rPr>
        <w:t xml:space="preserve">программу</w:t>
      </w:r>
      <w:r>
        <w:fldChar w:fldCharType="end"/>
      </w:r>
      <w:r>
        <w:rPr>
          <w:sz w:val="28"/>
          <w:szCs w:val="28"/>
        </w:rPr>
        <w:t xml:space="preserve"> Еврейской автономной области «Модернизация объектов коммунальной инфраструктуры в Еврейской автономной области» на 2020 – 2025 годы, утвержденную</w:t>
      </w:r>
      <w:r>
        <w:rPr>
          <w:bCs/>
          <w:sz w:val="28"/>
          <w:szCs w:val="28"/>
        </w:rPr>
        <w:t xml:space="preserve"> постановлением правительства Еврейской автономной области от 08.04.2020 № 93-пп</w:t>
      </w:r>
      <w:r>
        <w:rPr>
          <w:bCs/>
          <w:sz w:val="28"/>
          <w:szCs w:val="28"/>
        </w:rPr>
      </w:r>
      <w:r/>
    </w:p>
    <w:p>
      <w:pPr>
        <w:pStyle w:val="9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9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939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Правительство Еврейской автономной области </w:t>
      </w:r>
      <w:r>
        <w:rPr>
          <w:sz w:val="28"/>
          <w:szCs w:val="28"/>
        </w:rPr>
      </w:r>
      <w:r/>
    </w:p>
    <w:p>
      <w:pPr>
        <w:pStyle w:val="939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/>
    </w:p>
    <w:p>
      <w:pPr>
        <w:pStyle w:val="939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государственную </w:t>
      </w:r>
      <w:r>
        <w:fldChar w:fldCharType="begin"/>
      </w:r>
      <w:r>
        <w:instrText xml:space="preserve">HYPERLINK \l "Par77"</w:instrText>
      </w:r>
      <w:r>
        <w:fldChar w:fldCharType="separate"/>
      </w:r>
      <w:r>
        <w:rPr>
          <w:sz w:val="28"/>
          <w:szCs w:val="28"/>
        </w:rPr>
        <w:t xml:space="preserve">программу</w:t>
      </w:r>
      <w:r>
        <w:fldChar w:fldCharType="end"/>
      </w:r>
      <w:r>
        <w:rPr>
          <w:sz w:val="28"/>
          <w:szCs w:val="28"/>
        </w:rPr>
        <w:t xml:space="preserve"> Еврейской автономной области «Модернизация объектов коммунальной инфраструктуры в Еврейской автономной области» на 2020 – 2025 годы, утвержденную постановлением правительства Еврейской автономной области от 08.04.2020 № 93-пп</w:t>
      </w:r>
      <w:r>
        <w:rPr>
          <w:bCs/>
          <w:sz w:val="28"/>
          <w:szCs w:val="28"/>
        </w:rPr>
        <w:t xml:space="preserve"> «Об утверждении государственной программы Еврейской автономной области «Модернизация объектов коммунальной инфраструктуры в Еврейской автономной области» на 2020 – 2025 годы», </w:t>
      </w:r>
      <w:r>
        <w:rPr>
          <w:sz w:val="28"/>
          <w:szCs w:val="28"/>
        </w:rPr>
        <w:t xml:space="preserve">след</w:t>
      </w:r>
      <w:r>
        <w:rPr>
          <w:sz w:val="28"/>
          <w:szCs w:val="28"/>
        </w:rPr>
        <w:t xml:space="preserve">ующи</w:t>
      </w:r>
      <w:r>
        <w:rPr>
          <w:sz w:val="28"/>
          <w:szCs w:val="28"/>
        </w:rPr>
        <w:t xml:space="preserve">е изменен</w:t>
      </w:r>
      <w:r>
        <w:rPr>
          <w:sz w:val="28"/>
          <w:szCs w:val="28"/>
        </w:rPr>
        <w:t xml:space="preserve">ия и дополнения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939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троку «</w:t>
      </w:r>
      <w:r>
        <w:rPr>
          <w:sz w:val="28"/>
          <w:szCs w:val="28"/>
        </w:rPr>
        <w:t xml:space="preserve">Ресурсное обеспечение реализации государственной программы з</w:t>
      </w:r>
      <w:r>
        <w:rPr>
          <w:sz w:val="28"/>
          <w:szCs w:val="28"/>
        </w:rPr>
        <w:t xml:space="preserve">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раздела 1 «Паспорт государственной программы </w:t>
      </w:r>
      <w:r>
        <w:rPr>
          <w:bCs/>
          <w:sz w:val="28"/>
          <w:szCs w:val="28"/>
        </w:rPr>
        <w:t xml:space="preserve">Еврейской автономной области </w:t>
      </w:r>
      <w:r>
        <w:rPr>
          <w:sz w:val="28"/>
          <w:szCs w:val="28"/>
        </w:rPr>
        <w:t xml:space="preserve">«Модернизация объектов коммунальной инфраструктуры в Еврейской автономной области» на 2020 – 2025 годы</w:t>
      </w:r>
      <w:r>
        <w:rPr>
          <w:bCs/>
          <w:sz w:val="28"/>
          <w:szCs w:val="28"/>
        </w:rPr>
        <w:t xml:space="preserve">» изложить в следующей редакции:</w:t>
      </w:r>
      <w:r/>
    </w:p>
    <w:p>
      <w:pPr>
        <w:pStyle w:val="93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tbl>
      <w:tblPr>
        <w:tblW w:w="9781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5"/>
        <w:gridCol w:w="850"/>
        <w:gridCol w:w="1418"/>
        <w:gridCol w:w="1276"/>
        <w:gridCol w:w="1559"/>
        <w:gridCol w:w="1134"/>
        <w:gridCol w:w="1559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93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«Ресурсное обе</w:t>
            </w:r>
            <w:r>
              <w:rPr>
                <w:lang w:eastAsia="en-US"/>
              </w:rPr>
              <w:t xml:space="preserve">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6" w:type="dxa"/>
            <w:vAlign w:val="top"/>
            <w:textDirection w:val="lrTb"/>
            <w:noWrap w:val="false"/>
          </w:tcPr>
          <w:p>
            <w:pPr>
              <w:pStyle w:val="93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Общий объем финансирования государственной программы за счет всех источников составит 8660008,90</w:t>
            </w:r>
            <w:r>
              <w:rPr>
                <w:lang w:eastAsia="en-US"/>
              </w:rPr>
              <w:t xml:space="preserve"> тыс. рублей*, в том числе за счет средств областного бюджета – 6665556,96</w:t>
            </w:r>
            <w:r>
              <w:rPr>
                <w:lang w:eastAsia="en-US"/>
              </w:rPr>
              <w:t xml:space="preserve"> тыс. рублей:</w:t>
            </w:r>
            <w:r/>
          </w:p>
          <w:p>
            <w:pPr>
              <w:pStyle w:val="939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(тыс. рублей)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939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Федераль</w:t>
            </w:r>
            <w:r>
              <w:rPr>
                <w:lang w:eastAsia="en-US"/>
              </w:rPr>
              <w:t xml:space="preserve">-</w:t>
            </w:r>
            <w:r>
              <w:rPr>
                <w:lang w:eastAsia="en-US"/>
              </w:rPr>
              <w:t xml:space="preserve">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Бюджеты муниципаль</w:t>
            </w:r>
            <w:r>
              <w:rPr>
                <w:lang w:eastAsia="en-US"/>
              </w:rPr>
              <w:t xml:space="preserve">-</w:t>
            </w:r>
            <w:r>
              <w:rPr>
                <w:lang w:eastAsia="en-US"/>
              </w:rPr>
              <w:t xml:space="preserve">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Внебюд</w:t>
            </w:r>
            <w:r>
              <w:rPr>
                <w:lang w:eastAsia="en-US"/>
              </w:rPr>
              <w:t xml:space="preserve">-</w:t>
            </w:r>
            <w:r>
              <w:rPr>
                <w:lang w:eastAsia="en-US"/>
              </w:rPr>
              <w:t xml:space="preserve">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Всего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74635,91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702831,86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4695,15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782162,92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910402,2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495618,1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1992,0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1408012,30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655922,3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870684,4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310,42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1526914,12</w:t>
            </w:r>
            <w:r>
              <w:rPr>
                <w:lang w:val="en-US" w:eastAsia="en-U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val="ru-RU"/>
              </w:rPr>
              <w:t xml:space="preserve">346493,96</w:t>
            </w:r>
            <w:r>
              <w:rPr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3172320,7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3518814,66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1191521,4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1191521,4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232580,5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232580,5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Итого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1987454,37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6665556,96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6997,57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8660008,90</w:t>
            </w:r>
            <w:r>
              <w:rPr>
                <w:lang w:eastAsia="en-US"/>
              </w:rPr>
              <w:t xml:space="preserve">».</w:t>
            </w:r>
            <w:r/>
          </w:p>
        </w:tc>
      </w:tr>
    </w:tbl>
    <w:p>
      <w:pPr>
        <w:pStyle w:val="93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 В</w:t>
      </w:r>
      <w:r>
        <w:rPr>
          <w:sz w:val="28"/>
          <w:szCs w:val="28"/>
        </w:rPr>
        <w:t xml:space="preserve"> таблице 2 раздела </w:t>
      </w:r>
      <w:r>
        <w:rPr>
          <w:sz w:val="28"/>
          <w:szCs w:val="28"/>
        </w:rPr>
        <w:t xml:space="preserve">7 «Система программных мероприятий»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раздела 7 «</w:t>
      </w:r>
      <w:r>
        <w:rPr>
          <w:sz w:val="28"/>
          <w:szCs w:val="28"/>
          <w:highlight w:val="none"/>
        </w:rPr>
        <w:t xml:space="preserve">Основное мероприятие: «Реализация мероприятий плана социального развития центров экономического роста Еврейской автономной области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highlight w:val="none"/>
        </w:rPr>
        <w:t xml:space="preserve"> внести следующие изменения и дополнения: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подпункт 7.11 изложить в следующей редакции:</w:t>
      </w:r>
      <w:r/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"/>
        <w:gridCol w:w="1701"/>
        <w:gridCol w:w="1984"/>
        <w:gridCol w:w="709"/>
        <w:gridCol w:w="992"/>
        <w:gridCol w:w="1134"/>
        <w:gridCol w:w="261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«7.11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Ремонт здания бани в с. Ленинское, в том числе разработка проектно-сметной документации, приобретение мебели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области, орган местного самоуправления муниципального образования «Ленинский муниципальный район»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Ремонт 1 здания, приобретение мебели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Ухудшение условий жизнеобеспечения населения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Показатели (индикаторы) № 1, 2, 4 из таблицы 1 «Сведения о показателях (индикаторах) государственной программы»;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дополнить подпунктом 7.14 следующего содержания:</w:t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"/>
        <w:gridCol w:w="1701"/>
        <w:gridCol w:w="1984"/>
        <w:gridCol w:w="709"/>
        <w:gridCol w:w="992"/>
        <w:gridCol w:w="1134"/>
        <w:gridCol w:w="261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«7.14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Приобретение транспортных средств для нужд Еврейской автономной области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области, орган местного самоуправления муниципального образования «Ленинский муниципальный район»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Приобретение 10 единиц транспортных средств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Ухудшение условий жизнеобеспечения населения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Показатели (индикаторы) № 1, 2, 4 из таблицы 1 «Сведения о показателях (индикаторах) государственной программы»;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</w:tr>
    </w:tbl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39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10 «Ресурсное обеспечение реализации государственной программы»:</w:t>
      </w:r>
      <w:r/>
    </w:p>
    <w:p>
      <w:pPr>
        <w:pStyle w:val="93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абзацы первый и третий изложить в следующей редакции:</w:t>
      </w:r>
      <w:r/>
    </w:p>
    <w:p>
      <w:pPr>
        <w:pStyle w:val="939"/>
        <w:jc w:val="both"/>
        <w:rPr>
          <w:lang w:eastAsia="en-US"/>
        </w:rPr>
      </w:pPr>
      <w:r>
        <w:rPr>
          <w:sz w:val="28"/>
          <w:szCs w:val="28"/>
        </w:rPr>
        <w:tab/>
        <w:t xml:space="preserve">«</w:t>
      </w:r>
      <w:r>
        <w:rPr>
          <w:sz w:val="28"/>
          <w:szCs w:val="28"/>
          <w:lang w:eastAsia="en-US"/>
        </w:rPr>
        <w:t xml:space="preserve">Общий объем финансирования программы </w:t>
      </w:r>
      <w:r>
        <w:rPr>
          <w:sz w:val="28"/>
          <w:szCs w:val="28"/>
        </w:rPr>
        <w:t xml:space="preserve">в 2020 – 2025 годах составит 8660008,90</w:t>
      </w:r>
      <w:r>
        <w:rPr>
          <w:lang w:eastAsia="en-US"/>
        </w:rPr>
        <w:t xml:space="preserve"> </w:t>
      </w:r>
      <w:r>
        <w:rPr>
          <w:sz w:val="28"/>
          <w:szCs w:val="28"/>
        </w:rPr>
        <w:t xml:space="preserve">тыс. рублей, в том числе:</w:t>
      </w:r>
      <w:r>
        <w:rPr>
          <w:lang w:eastAsia="en-US"/>
        </w:rPr>
      </w:r>
      <w:r/>
    </w:p>
    <w:p>
      <w:pPr>
        <w:pStyle w:val="93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бюджет – 1987454,37</w:t>
      </w:r>
      <w:r>
        <w:rPr>
          <w:sz w:val="28"/>
          <w:szCs w:val="28"/>
        </w:rPr>
        <w:t xml:space="preserve">тыс. рублей»;</w:t>
      </w:r>
      <w:r/>
    </w:p>
    <w:p>
      <w:pPr>
        <w:pStyle w:val="93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fldChar w:fldCharType="begin"/>
      </w:r>
      <w:r>
        <w:instrText xml:space="preserve">HYPERLINK "consultantplus://offline/ref=9DCB46296CBFCEEBCB8A79E91F882BF49AB291F121A822B9DF86EA6EC90FC5268661A52BC317815D9473FF0592524047CE783068182CEBF51CF256B5K0D"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таблице 4</w: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«Информация о ресурсном обеспечении государственной программы за счет средств областного бюджета и прогнозная оценка о привлекаемых на реализацию ее целей средствах федерального бюджета, бюджетов муниципальных образований области, внебюджетных источников»:</w:t>
      </w:r>
      <w:r/>
      <w:r>
        <w:rPr>
          <w:sz w:val="28"/>
          <w:szCs w:val="28"/>
        </w:rPr>
      </w:r>
      <w:r/>
    </w:p>
    <w:p>
      <w:pPr>
        <w:pStyle w:val="939"/>
        <w:ind w:firstLine="709"/>
        <w:jc w:val="both"/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pStyle w:val="948"/>
        <w:ind w:firstLine="0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8"/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строку:</w:t>
      </w:r>
      <w:r/>
    </w:p>
    <w:p>
      <w:pPr>
        <w:pStyle w:val="948"/>
        <w:ind w:firstLine="0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</w:r>
      <w:r/>
    </w:p>
    <w:tbl>
      <w:tblPr>
        <w:tblStyle w:val="795"/>
        <w:tblW w:w="0" w:type="auto"/>
        <w:tblLayout w:type="fixed"/>
        <w:tblLook w:val="04A0" w:firstRow="1" w:lastRow="0" w:firstColumn="1" w:lastColumn="0" w:noHBand="0" w:noVBand="1"/>
      </w:tblPr>
      <w:tblGrid>
        <w:gridCol w:w="487"/>
        <w:gridCol w:w="2299"/>
        <w:gridCol w:w="2013"/>
        <w:gridCol w:w="1406"/>
        <w:gridCol w:w="1276"/>
        <w:gridCol w:w="1433"/>
        <w:gridCol w:w="1724"/>
        <w:gridCol w:w="1559"/>
        <w:gridCol w:w="1417"/>
        <w:gridCol w:w="1276"/>
      </w:tblGrid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7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9" w:type="dxa"/>
            <w:vMerge w:val="restart"/>
            <w:textDirection w:val="lrTb"/>
            <w:noWrap w:val="false"/>
          </w:tcPr>
          <w:p>
            <w:r>
              <w:t xml:space="preserve">«Государственная программа «Модернизация объектов коммунальной инфраструктуры в Еврейской автономной области»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3" w:type="dxa"/>
            <w:textDirection w:val="lrTb"/>
            <w:noWrap w:val="false"/>
          </w:tcPr>
          <w:p>
            <w: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6" w:type="dxa"/>
            <w:textDirection w:val="lrTb"/>
            <w:noWrap w:val="false"/>
          </w:tcPr>
          <w:p>
            <w:pPr>
              <w:jc w:val="center"/>
            </w:pPr>
            <w:r>
              <w:t xml:space="preserve">8556936,41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782162,92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3" w:type="dxa"/>
            <w:textDirection w:val="lrTb"/>
            <w:noWrap w:val="false"/>
          </w:tcPr>
          <w:p>
            <w:pPr>
              <w:jc w:val="center"/>
            </w:pPr>
            <w:r>
              <w:t xml:space="preserve">1408012,3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4" w:type="dxa"/>
            <w:textDirection w:val="lrTb"/>
            <w:noWrap w:val="false"/>
          </w:tcPr>
          <w:p>
            <w:pPr>
              <w:jc w:val="center"/>
            </w:pPr>
            <w:r>
              <w:t xml:space="preserve">1526917,12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3415742,17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1191521,40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232580,50</w:t>
            </w:r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3" w:type="dxa"/>
            <w:textDirection w:val="lrTb"/>
            <w:noWrap w:val="false"/>
          </w:tcPr>
          <w:p>
            <w: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6" w:type="dxa"/>
            <w:textDirection w:val="lrTb"/>
            <w:noWrap w:val="false"/>
          </w:tcPr>
          <w:p>
            <w:pPr>
              <w:jc w:val="center"/>
            </w:pPr>
            <w:r>
              <w:t xml:space="preserve">6665556,96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702831,86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3" w:type="dxa"/>
            <w:textDirection w:val="lrTb"/>
            <w:noWrap w:val="false"/>
          </w:tcPr>
          <w:p>
            <w:pPr>
              <w:jc w:val="center"/>
            </w:pPr>
            <w:r>
              <w:t xml:space="preserve">495618,1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4" w:type="dxa"/>
            <w:textDirection w:val="lrTb"/>
            <w:noWrap w:val="false"/>
          </w:tcPr>
          <w:p>
            <w:pPr>
              <w:jc w:val="center"/>
            </w:pPr>
            <w:r>
              <w:t xml:space="preserve">870684,4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3172320,70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1191521,40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232580,50</w:t>
            </w:r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3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6" w:type="dxa"/>
            <w:textDirection w:val="lrTb"/>
            <w:noWrap w:val="false"/>
          </w:tcPr>
          <w:p>
            <w:pPr>
              <w:jc w:val="center"/>
            </w:pPr>
            <w:r>
              <w:t xml:space="preserve">1884381,88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74635,910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3" w:type="dxa"/>
            <w:textDirection w:val="lrTb"/>
            <w:noWrap w:val="false"/>
          </w:tcPr>
          <w:p>
            <w:pPr>
              <w:jc w:val="center"/>
            </w:pPr>
            <w:r>
              <w:t xml:space="preserve">910402,20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4" w:type="dxa"/>
            <w:textDirection w:val="lrTb"/>
            <w:noWrap w:val="false"/>
          </w:tcPr>
          <w:p>
            <w:pPr>
              <w:jc w:val="center"/>
            </w:pPr>
            <w:r>
              <w:t xml:space="preserve">655922,30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243421,47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3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6" w:type="dxa"/>
            <w:textDirection w:val="lrTb"/>
            <w:noWrap w:val="false"/>
          </w:tcPr>
          <w:p>
            <w:pPr>
              <w:jc w:val="center"/>
            </w:pPr>
            <w:r>
              <w:t xml:space="preserve">6997,57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4695,15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3" w:type="dxa"/>
            <w:textDirection w:val="lrTb"/>
            <w:noWrap w:val="false"/>
          </w:tcPr>
          <w:p>
            <w:pPr>
              <w:jc w:val="center"/>
            </w:pPr>
            <w:r>
              <w:t xml:space="preserve">1992,00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4" w:type="dxa"/>
            <w:textDirection w:val="lrTb"/>
            <w:noWrap w:val="false"/>
          </w:tcPr>
          <w:p>
            <w:pPr>
              <w:jc w:val="center"/>
            </w:pPr>
            <w:r>
              <w:t xml:space="preserve">310,42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3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6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3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0,0»</w:t>
            </w:r>
            <w:r/>
          </w:p>
        </w:tc>
      </w:tr>
    </w:tbl>
    <w:p>
      <w:pPr>
        <w:pStyle w:val="948"/>
        <w:ind w:firstLine="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</w:r>
    </w:p>
    <w:p>
      <w:pPr>
        <w:pStyle w:val="948"/>
        <w:ind w:firstLine="0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  <w:lang w:eastAsia="en-US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заменить строкой:</w:t>
      </w:r>
      <w:r/>
      <w:r/>
    </w:p>
    <w:p>
      <w:pPr>
        <w:pStyle w:val="948"/>
        <w:ind w:firstLine="0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</w:r>
    </w:p>
    <w:tbl>
      <w:tblPr>
        <w:tblStyle w:val="79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2309"/>
        <w:gridCol w:w="1984"/>
        <w:gridCol w:w="1417"/>
        <w:gridCol w:w="1276"/>
        <w:gridCol w:w="1417"/>
        <w:gridCol w:w="1701"/>
        <w:gridCol w:w="1559"/>
        <w:gridCol w:w="1417"/>
        <w:gridCol w:w="1312"/>
      </w:tblGrid>
      <w:tr>
        <w:trPr>
          <w:trHeight w:val="420"/>
        </w:trPr>
        <w:tc>
          <w:tcPr>
            <w:tcBorders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left w:val="single" w:color="000000" w:sz="4" w:space="0"/>
            </w:tcBorders>
            <w:tcW w:w="2309" w:type="dxa"/>
            <w:vMerge w:val="restart"/>
            <w:textDirection w:val="lrTb"/>
            <w:noWrap w:val="false"/>
          </w:tcPr>
          <w:p>
            <w:r>
              <w:t xml:space="preserve">«Государственная программа «Модернизация объектов коммунальной инфраструктуры в Еврейской автономной области»</w:t>
            </w:r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r>
              <w:t xml:space="preserve">8660008,90</w:t>
            </w: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r>
              <w:t xml:space="preserve">782162,92</w:t>
            </w:r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r>
              <w:t xml:space="preserve">1408012,3</w:t>
            </w: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r>
              <w:t xml:space="preserve">1526917,12</w:t>
            </w:r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r>
              <w:t xml:space="preserve">3518814,66</w:t>
            </w:r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r>
              <w:t xml:space="preserve">1191521,40</w:t>
            </w:r>
            <w:r/>
            <w:r/>
          </w:p>
        </w:tc>
        <w:tc>
          <w:tcPr>
            <w:tcW w:w="1312" w:type="dxa"/>
            <w:textDirection w:val="lrTb"/>
            <w:noWrap w:val="false"/>
          </w:tcPr>
          <w:p>
            <w:r>
              <w:t xml:space="preserve">232580,50</w:t>
            </w:r>
            <w:r/>
            <w:r/>
          </w:p>
        </w:tc>
      </w:tr>
      <w:tr>
        <w:trPr>
          <w:trHeight w:val="420"/>
        </w:trPr>
        <w:tc>
          <w:tcPr>
            <w:tcBorders>
              <w:righ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left w:val="single" w:color="000000" w:sz="4" w:space="0"/>
            </w:tcBorders>
            <w:tcW w:w="23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r>
              <w:t xml:space="preserve">6665556,96</w:t>
            </w: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r>
              <w:t xml:space="preserve">702831,86</w:t>
            </w:r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r>
              <w:t xml:space="preserve">495618,1</w:t>
            </w: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r>
              <w:t xml:space="preserve">870684,4</w:t>
            </w:r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r>
              <w:t xml:space="preserve">3172320,70</w:t>
            </w:r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r>
              <w:t xml:space="preserve">1191521,40</w:t>
            </w:r>
            <w:r/>
            <w:r/>
          </w:p>
        </w:tc>
        <w:tc>
          <w:tcPr>
            <w:tcW w:w="1312" w:type="dxa"/>
            <w:textDirection w:val="lrTb"/>
            <w:noWrap w:val="false"/>
          </w:tcPr>
          <w:p>
            <w:r>
              <w:t xml:space="preserve">232580,50</w:t>
            </w:r>
            <w:r/>
            <w:r/>
          </w:p>
        </w:tc>
      </w:tr>
      <w:tr>
        <w:trPr>
          <w:trHeight w:val="420"/>
        </w:trPr>
        <w:tc>
          <w:tcPr>
            <w:tcBorders>
              <w:righ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left w:val="single" w:color="000000" w:sz="4" w:space="0"/>
            </w:tcBorders>
            <w:tcW w:w="23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r>
              <w:t xml:space="preserve">1987454,37</w:t>
            </w: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r>
              <w:t xml:space="preserve">74635,910</w:t>
            </w:r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r>
              <w:t xml:space="preserve">910402,20</w:t>
            </w: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r>
              <w:t xml:space="preserve">655922,30</w:t>
            </w:r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r>
              <w:t xml:space="preserve">346493,96</w:t>
            </w:r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W w:w="1312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righ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left w:val="single" w:color="000000" w:sz="4" w:space="0"/>
            </w:tcBorders>
            <w:tcW w:w="23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r>
              <w:t xml:space="preserve">6997,57</w:t>
            </w: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r>
              <w:t xml:space="preserve">4695,15</w:t>
            </w:r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r>
              <w:t xml:space="preserve">1992,00</w:t>
            </w: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r>
              <w:t xml:space="preserve">310,42</w:t>
            </w:r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W w:w="1312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righ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left w:val="single" w:color="000000" w:sz="4" w:space="0"/>
            </w:tcBorders>
            <w:tcW w:w="23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W w:w="1312" w:type="dxa"/>
            <w:textDirection w:val="lrTb"/>
            <w:noWrap w:val="false"/>
          </w:tcPr>
          <w:p>
            <w:r>
              <w:t xml:space="preserve">0,0»;</w:t>
            </w:r>
            <w:r/>
            <w:r/>
          </w:p>
        </w:tc>
      </w:tr>
    </w:tbl>
    <w:p>
      <w:pPr>
        <w:pStyle w:val="948"/>
        <w:ind w:firstLine="0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пункте 7:</w:t>
      </w:r>
      <w:r/>
      <w:r/>
    </w:p>
    <w:p>
      <w:pPr>
        <w:pStyle w:val="93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ab/>
        <w:t xml:space="preserve">строку:</w:t>
      </w:r>
      <w:r>
        <w:rPr>
          <w:sz w:val="28"/>
          <w:szCs w:val="28"/>
          <w:highlight w:val="none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6"/>
        <w:gridCol w:w="2209"/>
        <w:gridCol w:w="1789"/>
        <w:gridCol w:w="1414"/>
        <w:gridCol w:w="1414"/>
        <w:gridCol w:w="1259"/>
        <w:gridCol w:w="1559"/>
        <w:gridCol w:w="1559"/>
        <w:gridCol w:w="1276"/>
        <w:gridCol w:w="141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«7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09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мероприятие: «Реализация мероприятий плана социального развития центров экономического роста Еврейской автономной области»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619520,06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75389,83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239328,34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61380,42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243421,47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09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09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616468,78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74635,91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237340,20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61071,20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243421,47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09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3051,28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753,92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1988,14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309,22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9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заменить строкой:</w:t>
      </w:r>
      <w:r/>
    </w:p>
    <w:tbl>
      <w:tblPr>
        <w:tblStyle w:val="795"/>
        <w:tblW w:w="0" w:type="auto"/>
        <w:tblInd w:w="7" w:type="dxa"/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1701"/>
        <w:gridCol w:w="1417"/>
        <w:gridCol w:w="1417"/>
        <w:gridCol w:w="1134"/>
        <w:gridCol w:w="1701"/>
        <w:gridCol w:w="1559"/>
        <w:gridCol w:w="1276"/>
        <w:gridCol w:w="1417"/>
      </w:tblGrid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r>
              <w:t xml:space="preserve">«7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restart"/>
            <w:textDirection w:val="lrTb"/>
            <w:noWrap w:val="false"/>
          </w:tcPr>
          <w:p>
            <w:r>
              <w:t xml:space="preserve">Основное мероприятие: «Реализация мероприятий плана социального развития центров экономического роста Еврейской автономной области»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722592,55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75389,83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239328,34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61380,42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346493,96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719541,27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74635,91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237340,20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61071,20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346493,96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3051,28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753,92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1988,14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309,22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0,0»;</w:t>
            </w:r>
            <w:r/>
            <w:r/>
          </w:p>
        </w:tc>
      </w:tr>
    </w:tbl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подпункт 7.9 изложить в следующей редакции:</w:t>
      </w:r>
      <w:r>
        <w:rPr>
          <w:sz w:val="28"/>
          <w:szCs w:val="28"/>
          <w:highlight w:val="none"/>
        </w:rPr>
      </w:r>
      <w:r/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95"/>
        <w:tblW w:w="0" w:type="auto"/>
        <w:tblLayout w:type="fixed"/>
        <w:tblLook w:val="04A0" w:firstRow="1" w:lastRow="0" w:firstColumn="1" w:lastColumn="0" w:noHBand="0" w:noVBand="1"/>
      </w:tblPr>
      <w:tblGrid>
        <w:gridCol w:w="574"/>
        <w:gridCol w:w="2551"/>
        <w:gridCol w:w="1701"/>
        <w:gridCol w:w="1417"/>
        <w:gridCol w:w="1417"/>
        <w:gridCol w:w="1134"/>
        <w:gridCol w:w="1701"/>
        <w:gridCol w:w="1559"/>
        <w:gridCol w:w="1276"/>
        <w:gridCol w:w="1417"/>
      </w:tblGrid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Merge w:val="restart"/>
            <w:textDirection w:val="lrTb"/>
            <w:noWrap w:val="false"/>
          </w:tcPr>
          <w:p>
            <w:r>
              <w:t xml:space="preserve">«7.9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r>
              <w:t xml:space="preserve">Модернизация полевого учебно-тренировочного комплекса «Кирга» Службы в г. Биробиджане 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116103,06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116103,06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116103,06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116103,06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0,0»;</w:t>
            </w:r>
            <w:r/>
            <w:r/>
          </w:p>
        </w:tc>
      </w:tr>
    </w:tbl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подпункт 7.11 изложить в следующей редакции:</w:t>
      </w:r>
      <w:r>
        <w:rPr>
          <w:sz w:val="28"/>
          <w:szCs w:val="28"/>
          <w:highlight w:val="none"/>
        </w:rPr>
      </w:r>
      <w:r/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95"/>
        <w:tblW w:w="0" w:type="auto"/>
        <w:tblLayout w:type="fixed"/>
        <w:tblLook w:val="04A0" w:firstRow="1" w:lastRow="0" w:firstColumn="1" w:lastColumn="0" w:noHBand="0" w:noVBand="1"/>
      </w:tblPr>
      <w:tblGrid>
        <w:gridCol w:w="716"/>
        <w:gridCol w:w="2409"/>
        <w:gridCol w:w="1701"/>
        <w:gridCol w:w="1417"/>
        <w:gridCol w:w="1417"/>
        <w:gridCol w:w="1134"/>
        <w:gridCol w:w="1701"/>
        <w:gridCol w:w="1559"/>
        <w:gridCol w:w="1276"/>
        <w:gridCol w:w="1417"/>
      </w:tblGrid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r>
              <w:t xml:space="preserve">«7.11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Merge w:val="restart"/>
            <w:textDirection w:val="lrTb"/>
            <w:noWrap w:val="false"/>
          </w:tcPr>
          <w:p>
            <w:r>
              <w:t xml:space="preserve">Ремонт здания бани в с. Ленинское, в том числе разработка проектно-сметной документации, приобретение мебели</w:t>
              <w:br/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6721,99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6721,99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6721,99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6721,99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0,0»;</w:t>
            </w:r>
            <w:r/>
            <w:r/>
          </w:p>
        </w:tc>
      </w:tr>
    </w:tbl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ab/>
        <w:t xml:space="preserve">дополнить подпунктом 7.14 следующего содержания: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95"/>
        <w:tblW w:w="0" w:type="auto"/>
        <w:tblLayout w:type="fixed"/>
        <w:tblLook w:val="04A0" w:firstRow="1" w:lastRow="0" w:firstColumn="1" w:lastColumn="0" w:noHBand="0" w:noVBand="1"/>
      </w:tblPr>
      <w:tblGrid>
        <w:gridCol w:w="716"/>
        <w:gridCol w:w="2409"/>
        <w:gridCol w:w="1701"/>
        <w:gridCol w:w="1417"/>
        <w:gridCol w:w="1417"/>
        <w:gridCol w:w="1134"/>
        <w:gridCol w:w="1701"/>
        <w:gridCol w:w="1559"/>
        <w:gridCol w:w="1276"/>
        <w:gridCol w:w="1417"/>
      </w:tblGrid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r>
              <w:t xml:space="preserve">«7.14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Merge w:val="restart"/>
            <w:textDirection w:val="lrTb"/>
            <w:noWrap w:val="false"/>
          </w:tcPr>
          <w:p>
            <w:r>
              <w:t xml:space="preserve">Приобретение транспортных средств для нужд Еврейской автономной области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33803,10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33803,10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33803,10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33803,10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0,0»;</w:t>
            </w:r>
            <w:r/>
            <w:r/>
          </w:p>
        </w:tc>
      </w:tr>
    </w:tbl>
    <w:p>
      <w:pPr>
        <w:pStyle w:val="948"/>
        <w:ind w:firstLine="0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/>
    </w:p>
    <w:p>
      <w:pPr>
        <w:pStyle w:val="948"/>
        <w:ind w:left="0" w:right="-4252"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fldChar w:fldCharType="begin"/>
      </w:r>
      <w:r>
        <w:instrText xml:space="preserve">HYPERLINK "consultantplus://offline/ref=E01D79E557A21C47AABF06E632ED60674687BD795E46C41E6DEBAED245234EB9CB504438C08D5D6BFF2999C7BDBF4F954E0C43E88187C3024F90A6c8Y1D"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таблицу 5</w: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«Структура финансирования государственной программы» изложить в следующей редакции:</w:t>
      </w:r>
      <w:r/>
    </w:p>
    <w:p>
      <w:pPr>
        <w:pStyle w:val="948"/>
        <w:ind w:left="0" w:firstLine="0"/>
        <w:rPr>
          <w:rFonts w:ascii="Times New Roman" w:hAnsi="Times New Roman" w:cs="Times New Roman"/>
          <w:sz w:val="28"/>
          <w:szCs w:val="28"/>
          <w:highlight w:val="none"/>
        </w:rPr>
        <w:outlineLvl w:val="2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48"/>
        <w:ind w:left="0" w:firstLine="0"/>
        <w:rPr>
          <w:rFonts w:ascii="Times New Roman" w:hAnsi="Times New Roman" w:cs="Times New Roman"/>
          <w:sz w:val="28"/>
          <w:szCs w:val="28"/>
          <w:highlight w:val="none"/>
        </w:rPr>
        <w:sectPr>
          <w:headerReference w:type="default" r:id="rId12"/>
          <w:headerReference w:type="even" r:id="rId13"/>
          <w:footnotePr/>
          <w:endnotePr/>
          <w:type w:val="nextPage"/>
          <w:pgSz w:w="16838" w:h="11906" w:orient="landscape"/>
          <w:pgMar w:top="1701" w:right="4932" w:bottom="851" w:left="1134" w:header="709" w:footer="709" w:gutter="0"/>
          <w:cols w:num="1" w:sep="0" w:space="708" w:equalWidth="1"/>
          <w:docGrid w:linePitch="360"/>
        </w:sectPr>
        <w:outlineLvl w:val="2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48"/>
        <w:ind w:left="0" w:firstLine="0"/>
        <w:rPr>
          <w:rFonts w:ascii="Times New Roman" w:hAnsi="Times New Roman" w:cs="Times New Roman"/>
          <w:sz w:val="28"/>
          <w:szCs w:val="28"/>
          <w:highlight w:val="none"/>
        </w:rPr>
        <w:outlineLvl w:val="2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48"/>
        <w:ind w:left="0" w:firstLine="0"/>
        <w:rPr>
          <w:rFonts w:ascii="Times New Roman" w:hAnsi="Times New Roman" w:cs="Times New Roman"/>
          <w:sz w:val="28"/>
          <w:szCs w:val="28"/>
          <w:highlight w:val="none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 </w:t>
        <w:tab/>
        <w:tab/>
        <w:tab/>
        <w:tab/>
        <w:tab/>
        <w:tab/>
        <w:tab/>
        <w:tab/>
        <w:tab/>
        <w:tab/>
        <w:tab/>
        <w:t xml:space="preserve">«Таблица 5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48"/>
        <w:ind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Структура финансирования государственной программы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8"/>
        <w:ind w:firstLine="0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tbl>
      <w:tblPr>
        <w:tblStyle w:val="795"/>
        <w:tblW w:w="0" w:type="auto"/>
        <w:tblLook w:val="04A0" w:firstRow="1" w:lastRow="0" w:firstColumn="1" w:lastColumn="0" w:noHBand="0" w:noVBand="1"/>
      </w:tblPr>
      <w:tblGrid>
        <w:gridCol w:w="2685"/>
        <w:gridCol w:w="1680"/>
        <w:gridCol w:w="1320"/>
        <w:gridCol w:w="1455"/>
        <w:gridCol w:w="1590"/>
        <w:gridCol w:w="1335"/>
        <w:gridCol w:w="1350"/>
        <w:gridCol w:w="1320"/>
      </w:tblGrid>
      <w:tr>
        <w:trPr>
          <w:trHeight w:val="64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vMerge w:val="restart"/>
            <w:textDirection w:val="lrTb"/>
            <w:noWrap w:val="false"/>
          </w:tcPr>
          <w:p>
            <w:r>
              <w:t xml:space="preserve">Источники и направления расходов</w:t>
            </w:r>
            <w:r/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0" w:type="dxa"/>
            <w:textDirection w:val="lrTb"/>
            <w:noWrap w:val="false"/>
          </w:tcPr>
          <w:p>
            <w:r>
              <w:t xml:space="preserve"> Расходы (тыс. рублей), годы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Merge w:val="restart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70" w:type="dxa"/>
            <w:textDirection w:val="lrTb"/>
            <w:noWrap w:val="false"/>
          </w:tcPr>
          <w:p>
            <w:r>
              <w:t xml:space="preserve">В том числе по годам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2020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2021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2022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2023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*2024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*2025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8 660 008,90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782 162,92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1 408 012,30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1 526 917,12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3 518 814,66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1 191 521,40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232 580,50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6 665 556,96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702 831,86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495 618,1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870 684,40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3 172 320,7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1 191 521,40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232 580,50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1 987 454,37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74635,91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910402,20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655922,30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346493,96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6 997,57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4695,15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1992,00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310,42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Другие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35" w:type="dxa"/>
            <w:textDirection w:val="lrTb"/>
            <w:noWrap w:val="false"/>
          </w:tcPr>
          <w:p>
            <w:r>
              <w:t xml:space="preserve">Капитальные вложения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1719230,09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172447,89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40000,00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458962,40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502392,40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545427,40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1599899,03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93116,83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458962,40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502392,40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545427,40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114635,91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74635,91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40000,00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4695,15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4695,15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Другие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35" w:type="dxa"/>
            <w:textDirection w:val="lrTb"/>
            <w:noWrap w:val="false"/>
          </w:tcPr>
          <w:p>
            <w:r>
              <w:t xml:space="preserve">НИОКР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Другие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35" w:type="dxa"/>
            <w:textDirection w:val="lrTb"/>
            <w:noWrap w:val="false"/>
          </w:tcPr>
          <w:p>
            <w:r>
              <w:t xml:space="preserve">Прочие расходы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6940778,81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609715,03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1368012,3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1067954,72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3016422,26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646094,0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232580,50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5065657,93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609715,03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495618,1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411722,0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2669928,30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646094,0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232580,50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1872818,46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870402,20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655922,30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346493,96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2302,42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1992,00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310,42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Другие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</w:tbl>
    <w:p>
      <w:pPr>
        <w:pStyle w:val="939"/>
        <w:ind w:firstLine="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39"/>
        <w:ind w:firstLine="540"/>
        <w:jc w:val="both"/>
        <w:rPr>
          <w:highlight w:val="none"/>
        </w:rPr>
      </w:pPr>
      <w:r>
        <w:rPr>
          <w:sz w:val="28"/>
          <w:szCs w:val="28"/>
        </w:rPr>
        <w:t xml:space="preserve">*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программы.».</w:t>
      </w:r>
      <w:r>
        <w:rPr>
          <w:sz w:val="28"/>
          <w:szCs w:val="28"/>
        </w:rPr>
      </w:r>
      <w:r/>
    </w:p>
    <w:p>
      <w:pPr>
        <w:pStyle w:val="939"/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подписания.</w:t>
      </w:r>
      <w:r>
        <w:rPr>
          <w:sz w:val="28"/>
          <w:szCs w:val="28"/>
        </w:rPr>
      </w:r>
      <w:r/>
    </w:p>
    <w:p>
      <w:pPr>
        <w:pStyle w:val="939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39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39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области</w:t>
        <w:tab/>
        <w:tab/>
        <w:tab/>
        <w:tab/>
        <w:tab/>
        <w:tab/>
        <w:tab/>
        <w:t xml:space="preserve">   Р.Э. Гольдштейн</w:t>
      </w:r>
      <w:r>
        <w:rPr>
          <w:sz w:val="28"/>
          <w:szCs w:val="28"/>
        </w:rPr>
      </w:r>
    </w:p>
    <w:p>
      <w:pPr>
        <w:pStyle w:val="939"/>
        <w:jc w:val="both"/>
        <w:rPr>
          <w:szCs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939"/>
        <w:jc w:val="both"/>
        <w:rPr>
          <w:sz w:val="28"/>
        </w:rPr>
      </w:pPr>
      <w:r>
        <w:rPr>
          <w:sz w:val="28"/>
        </w:rPr>
      </w:r>
      <w:r/>
    </w:p>
    <w:p>
      <w:pPr>
        <w:pStyle w:val="939"/>
        <w:jc w:val="both"/>
        <w:rPr>
          <w:sz w:val="28"/>
        </w:rPr>
      </w:pPr>
      <w:r>
        <w:rPr>
          <w:sz w:val="28"/>
        </w:rPr>
      </w:r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MS Mincho">
    <w:panose1 w:val="020206090402050803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950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rPr>
        <w:rStyle w:val="952"/>
      </w:rPr>
      <w:framePr w:wrap="around" w:vAnchor="text" w:hAnchor="margin" w:xAlign="center" w:y="1"/>
    </w:pPr>
    <w:r>
      <w:rPr>
        <w:rStyle w:val="952"/>
      </w:rPr>
      <w:fldChar w:fldCharType="begin"/>
    </w:r>
    <w:r>
      <w:rPr>
        <w:rStyle w:val="952"/>
      </w:rPr>
      <w:instrText xml:space="preserve">PAGE  </w:instrText>
    </w:r>
    <w:r>
      <w:rPr>
        <w:rStyle w:val="952"/>
      </w:rPr>
      <w:fldChar w:fldCharType="separate"/>
    </w:r>
    <w:r>
      <w:rPr>
        <w:rStyle w:val="952"/>
      </w:rPr>
      <w:t xml:space="preserve">32</w:t>
    </w:r>
    <w:r>
      <w:rPr>
        <w:rStyle w:val="952"/>
      </w:rPr>
      <w:fldChar w:fldCharType="end"/>
    </w:r>
    <w:r>
      <w:rPr>
        <w:rStyle w:val="952"/>
      </w:rPr>
    </w:r>
    <w:r/>
  </w:p>
  <w:p>
    <w:pPr>
      <w:pStyle w:val="95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jc w:val="center"/>
    </w:pPr>
    <w:r/>
    <w:r/>
  </w:p>
  <w:p>
    <w:pPr>
      <w:pStyle w:val="950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rPr>
        <w:rStyle w:val="952"/>
      </w:rPr>
      <w:framePr w:wrap="around" w:vAnchor="text" w:hAnchor="margin" w:xAlign="center" w:y="1"/>
    </w:pPr>
    <w:r>
      <w:rPr>
        <w:rStyle w:val="952"/>
      </w:rPr>
      <w:fldChar w:fldCharType="begin"/>
    </w:r>
    <w:r>
      <w:rPr>
        <w:rStyle w:val="952"/>
      </w:rPr>
      <w:instrText xml:space="preserve">PAGE  </w:instrText>
    </w:r>
    <w:r>
      <w:rPr>
        <w:rStyle w:val="952"/>
      </w:rPr>
      <w:fldChar w:fldCharType="separate"/>
    </w:r>
    <w:r>
      <w:rPr>
        <w:rStyle w:val="952"/>
      </w:rPr>
      <w:t xml:space="preserve">16</w:t>
    </w:r>
    <w:r>
      <w:rPr>
        <w:rStyle w:val="952"/>
      </w:rPr>
      <w:fldChar w:fldCharType="end"/>
    </w:r>
    <w:r>
      <w:rPr>
        <w:rStyle w:val="952"/>
      </w:rPr>
    </w:r>
    <w:r/>
  </w:p>
  <w:p>
    <w:pPr>
      <w:pStyle w:val="950"/>
      <w:jc w:val="center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rPr>
        <w:rStyle w:val="952"/>
      </w:rPr>
      <w:framePr w:wrap="around" w:vAnchor="text" w:hAnchor="margin" w:xAlign="center" w:y="1"/>
    </w:pPr>
    <w:r>
      <w:rPr>
        <w:rStyle w:val="952"/>
      </w:rPr>
      <w:fldChar w:fldCharType="begin"/>
    </w:r>
    <w:r>
      <w:rPr>
        <w:rStyle w:val="952"/>
      </w:rPr>
      <w:instrText xml:space="preserve">PAGE  </w:instrText>
    </w:r>
    <w:r>
      <w:rPr>
        <w:rStyle w:val="952"/>
      </w:rPr>
      <w:fldChar w:fldCharType="end"/>
    </w:r>
    <w:r>
      <w:rPr>
        <w:rStyle w:val="952"/>
      </w:rPr>
    </w:r>
    <w:r/>
  </w:p>
  <w:p>
    <w:pPr>
      <w:pStyle w:val="9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9"/>
        <w:ind w:left="1804" w:hanging="109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39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39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39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39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39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39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39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39"/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939"/>
        <w:ind w:left="1425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9"/>
        <w:ind w:left="214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9"/>
        <w:ind w:left="286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9"/>
        <w:ind w:left="358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9"/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9"/>
        <w:ind w:left="502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9"/>
        <w:ind w:left="574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9"/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9"/>
        <w:ind w:left="7185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9"/>
        <w:ind w:left="1834" w:hanging="112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39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39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39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39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39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39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39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39"/>
        <w:ind w:left="6829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9"/>
        <w:ind w:left="1834" w:hanging="112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39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39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39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39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39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39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39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39"/>
        <w:ind w:left="6829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939"/>
        <w:ind w:left="1065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9"/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9"/>
        <w:ind w:left="250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9"/>
        <w:ind w:left="322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9"/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9"/>
        <w:ind w:left="466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9"/>
        <w:ind w:left="538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9"/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9"/>
        <w:ind w:left="6825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9"/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39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39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39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39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39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39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39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39"/>
        <w:ind w:left="6829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9"/>
        <w:ind w:left="1834" w:hanging="112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39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39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39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39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39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39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39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39"/>
        <w:ind w:left="6829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9"/>
        <w:ind w:left="1864" w:hanging="115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9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9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9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9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9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9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9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9"/>
        <w:ind w:left="6829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1">
    <w:name w:val="Heading 1"/>
    <w:basedOn w:val="939"/>
    <w:next w:val="939"/>
    <w:link w:val="76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2">
    <w:name w:val="Heading 1 Char"/>
    <w:link w:val="761"/>
    <w:uiPriority w:val="9"/>
    <w:rPr>
      <w:rFonts w:ascii="Arial" w:hAnsi="Arial" w:eastAsia="Arial" w:cs="Arial"/>
      <w:sz w:val="40"/>
      <w:szCs w:val="40"/>
    </w:rPr>
  </w:style>
  <w:style w:type="paragraph" w:styleId="763">
    <w:name w:val="Heading 2"/>
    <w:basedOn w:val="939"/>
    <w:next w:val="939"/>
    <w:link w:val="7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4">
    <w:name w:val="Heading 2 Char"/>
    <w:link w:val="763"/>
    <w:uiPriority w:val="9"/>
    <w:rPr>
      <w:rFonts w:ascii="Arial" w:hAnsi="Arial" w:eastAsia="Arial" w:cs="Arial"/>
      <w:sz w:val="34"/>
    </w:rPr>
  </w:style>
  <w:style w:type="paragraph" w:styleId="765">
    <w:name w:val="Heading 3"/>
    <w:basedOn w:val="939"/>
    <w:next w:val="939"/>
    <w:link w:val="7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6">
    <w:name w:val="Heading 3 Char"/>
    <w:link w:val="765"/>
    <w:uiPriority w:val="9"/>
    <w:rPr>
      <w:rFonts w:ascii="Arial" w:hAnsi="Arial" w:eastAsia="Arial" w:cs="Arial"/>
      <w:sz w:val="30"/>
      <w:szCs w:val="30"/>
    </w:rPr>
  </w:style>
  <w:style w:type="paragraph" w:styleId="767">
    <w:name w:val="Heading 4"/>
    <w:basedOn w:val="939"/>
    <w:next w:val="939"/>
    <w:link w:val="7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8">
    <w:name w:val="Heading 4 Char"/>
    <w:link w:val="767"/>
    <w:uiPriority w:val="9"/>
    <w:rPr>
      <w:rFonts w:ascii="Arial" w:hAnsi="Arial" w:eastAsia="Arial" w:cs="Arial"/>
      <w:b/>
      <w:bCs/>
      <w:sz w:val="26"/>
      <w:szCs w:val="26"/>
    </w:rPr>
  </w:style>
  <w:style w:type="paragraph" w:styleId="769">
    <w:name w:val="Heading 5"/>
    <w:basedOn w:val="939"/>
    <w:next w:val="939"/>
    <w:link w:val="7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0">
    <w:name w:val="Heading 5 Char"/>
    <w:link w:val="769"/>
    <w:uiPriority w:val="9"/>
    <w:rPr>
      <w:rFonts w:ascii="Arial" w:hAnsi="Arial" w:eastAsia="Arial" w:cs="Arial"/>
      <w:b/>
      <w:bCs/>
      <w:sz w:val="24"/>
      <w:szCs w:val="24"/>
    </w:rPr>
  </w:style>
  <w:style w:type="paragraph" w:styleId="771">
    <w:name w:val="Heading 6"/>
    <w:basedOn w:val="939"/>
    <w:next w:val="939"/>
    <w:link w:val="7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2">
    <w:name w:val="Heading 6 Char"/>
    <w:link w:val="771"/>
    <w:uiPriority w:val="9"/>
    <w:rPr>
      <w:rFonts w:ascii="Arial" w:hAnsi="Arial" w:eastAsia="Arial" w:cs="Arial"/>
      <w:b/>
      <w:bCs/>
      <w:sz w:val="22"/>
      <w:szCs w:val="22"/>
    </w:rPr>
  </w:style>
  <w:style w:type="paragraph" w:styleId="773">
    <w:name w:val="Heading 7"/>
    <w:basedOn w:val="939"/>
    <w:next w:val="939"/>
    <w:link w:val="7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4">
    <w:name w:val="Heading 7 Char"/>
    <w:link w:val="7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5">
    <w:name w:val="Heading 8"/>
    <w:basedOn w:val="939"/>
    <w:next w:val="939"/>
    <w:link w:val="7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6">
    <w:name w:val="Heading 8 Char"/>
    <w:link w:val="775"/>
    <w:uiPriority w:val="9"/>
    <w:rPr>
      <w:rFonts w:ascii="Arial" w:hAnsi="Arial" w:eastAsia="Arial" w:cs="Arial"/>
      <w:i/>
      <w:iCs/>
      <w:sz w:val="22"/>
      <w:szCs w:val="22"/>
    </w:rPr>
  </w:style>
  <w:style w:type="paragraph" w:styleId="777">
    <w:name w:val="Heading 9"/>
    <w:basedOn w:val="939"/>
    <w:next w:val="939"/>
    <w:link w:val="7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8">
    <w:name w:val="Heading 9 Char"/>
    <w:link w:val="777"/>
    <w:uiPriority w:val="9"/>
    <w:rPr>
      <w:rFonts w:ascii="Arial" w:hAnsi="Arial" w:eastAsia="Arial" w:cs="Arial"/>
      <w:i/>
      <w:iCs/>
      <w:sz w:val="21"/>
      <w:szCs w:val="21"/>
    </w:rPr>
  </w:style>
  <w:style w:type="paragraph" w:styleId="779">
    <w:name w:val="List Paragraph"/>
    <w:basedOn w:val="939"/>
    <w:uiPriority w:val="34"/>
    <w:qFormat/>
    <w:pPr>
      <w:contextualSpacing/>
      <w:ind w:left="720"/>
    </w:pPr>
  </w:style>
  <w:style w:type="paragraph" w:styleId="780">
    <w:name w:val="No Spacing"/>
    <w:uiPriority w:val="1"/>
    <w:qFormat/>
    <w:pPr>
      <w:spacing w:before="0" w:after="0" w:line="240" w:lineRule="auto"/>
    </w:pPr>
  </w:style>
  <w:style w:type="paragraph" w:styleId="781">
    <w:name w:val="Title"/>
    <w:basedOn w:val="939"/>
    <w:next w:val="939"/>
    <w:link w:val="7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2">
    <w:name w:val="Title Char"/>
    <w:link w:val="781"/>
    <w:uiPriority w:val="10"/>
    <w:rPr>
      <w:sz w:val="48"/>
      <w:szCs w:val="48"/>
    </w:rPr>
  </w:style>
  <w:style w:type="paragraph" w:styleId="783">
    <w:name w:val="Subtitle"/>
    <w:basedOn w:val="939"/>
    <w:next w:val="939"/>
    <w:link w:val="784"/>
    <w:uiPriority w:val="11"/>
    <w:qFormat/>
    <w:pPr>
      <w:spacing w:before="200" w:after="200"/>
    </w:pPr>
    <w:rPr>
      <w:sz w:val="24"/>
      <w:szCs w:val="24"/>
    </w:rPr>
  </w:style>
  <w:style w:type="character" w:styleId="784">
    <w:name w:val="Subtitle Char"/>
    <w:link w:val="783"/>
    <w:uiPriority w:val="11"/>
    <w:rPr>
      <w:sz w:val="24"/>
      <w:szCs w:val="24"/>
    </w:rPr>
  </w:style>
  <w:style w:type="paragraph" w:styleId="785">
    <w:name w:val="Quote"/>
    <w:basedOn w:val="939"/>
    <w:next w:val="939"/>
    <w:link w:val="786"/>
    <w:uiPriority w:val="29"/>
    <w:qFormat/>
    <w:pPr>
      <w:ind w:left="720" w:right="720"/>
    </w:pPr>
    <w:rPr>
      <w:i/>
    </w:rPr>
  </w:style>
  <w:style w:type="character" w:styleId="786">
    <w:name w:val="Quote Char"/>
    <w:link w:val="785"/>
    <w:uiPriority w:val="29"/>
    <w:rPr>
      <w:i/>
    </w:rPr>
  </w:style>
  <w:style w:type="paragraph" w:styleId="787">
    <w:name w:val="Intense Quote"/>
    <w:basedOn w:val="939"/>
    <w:next w:val="939"/>
    <w:link w:val="7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8">
    <w:name w:val="Intense Quote Char"/>
    <w:link w:val="787"/>
    <w:uiPriority w:val="30"/>
    <w:rPr>
      <w:i/>
    </w:rPr>
  </w:style>
  <w:style w:type="paragraph" w:styleId="789">
    <w:name w:val="Header"/>
    <w:basedOn w:val="939"/>
    <w:link w:val="7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0">
    <w:name w:val="Header Char"/>
    <w:link w:val="789"/>
    <w:uiPriority w:val="99"/>
  </w:style>
  <w:style w:type="paragraph" w:styleId="791">
    <w:name w:val="Footer"/>
    <w:basedOn w:val="939"/>
    <w:link w:val="7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2">
    <w:name w:val="Footer Char"/>
    <w:link w:val="791"/>
    <w:uiPriority w:val="99"/>
  </w:style>
  <w:style w:type="paragraph" w:styleId="793">
    <w:name w:val="Caption"/>
    <w:basedOn w:val="939"/>
    <w:next w:val="9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4">
    <w:name w:val="Caption Char"/>
    <w:basedOn w:val="793"/>
    <w:link w:val="791"/>
    <w:uiPriority w:val="99"/>
  </w:style>
  <w:style w:type="table" w:styleId="79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1">
    <w:name w:val="Hyperlink"/>
    <w:uiPriority w:val="99"/>
    <w:unhideWhenUsed/>
    <w:rPr>
      <w:color w:val="0000ff" w:themeColor="hyperlink"/>
      <w:u w:val="single"/>
    </w:rPr>
  </w:style>
  <w:style w:type="paragraph" w:styleId="922">
    <w:name w:val="footnote text"/>
    <w:basedOn w:val="939"/>
    <w:link w:val="923"/>
    <w:uiPriority w:val="99"/>
    <w:semiHidden/>
    <w:unhideWhenUsed/>
    <w:pPr>
      <w:spacing w:after="40" w:line="240" w:lineRule="auto"/>
    </w:pPr>
    <w:rPr>
      <w:sz w:val="18"/>
    </w:rPr>
  </w:style>
  <w:style w:type="character" w:styleId="923">
    <w:name w:val="Footnote Text Char"/>
    <w:link w:val="922"/>
    <w:uiPriority w:val="99"/>
    <w:rPr>
      <w:sz w:val="18"/>
    </w:rPr>
  </w:style>
  <w:style w:type="character" w:styleId="924">
    <w:name w:val="footnote reference"/>
    <w:uiPriority w:val="99"/>
    <w:unhideWhenUsed/>
    <w:rPr>
      <w:vertAlign w:val="superscript"/>
    </w:rPr>
  </w:style>
  <w:style w:type="paragraph" w:styleId="925">
    <w:name w:val="endnote text"/>
    <w:basedOn w:val="939"/>
    <w:link w:val="926"/>
    <w:uiPriority w:val="99"/>
    <w:semiHidden/>
    <w:unhideWhenUsed/>
    <w:pPr>
      <w:spacing w:after="0" w:line="240" w:lineRule="auto"/>
    </w:pPr>
    <w:rPr>
      <w:sz w:val="20"/>
    </w:rPr>
  </w:style>
  <w:style w:type="character" w:styleId="926">
    <w:name w:val="Endnote Text Char"/>
    <w:link w:val="925"/>
    <w:uiPriority w:val="99"/>
    <w:rPr>
      <w:sz w:val="20"/>
    </w:rPr>
  </w:style>
  <w:style w:type="character" w:styleId="927">
    <w:name w:val="endnote reference"/>
    <w:uiPriority w:val="99"/>
    <w:semiHidden/>
    <w:unhideWhenUsed/>
    <w:rPr>
      <w:vertAlign w:val="superscript"/>
    </w:rPr>
  </w:style>
  <w:style w:type="paragraph" w:styleId="928">
    <w:name w:val="toc 1"/>
    <w:basedOn w:val="939"/>
    <w:next w:val="939"/>
    <w:uiPriority w:val="39"/>
    <w:unhideWhenUsed/>
    <w:pPr>
      <w:ind w:left="0" w:right="0" w:firstLine="0"/>
      <w:spacing w:after="57"/>
    </w:pPr>
  </w:style>
  <w:style w:type="paragraph" w:styleId="929">
    <w:name w:val="toc 2"/>
    <w:basedOn w:val="939"/>
    <w:next w:val="939"/>
    <w:uiPriority w:val="39"/>
    <w:unhideWhenUsed/>
    <w:pPr>
      <w:ind w:left="283" w:right="0" w:firstLine="0"/>
      <w:spacing w:after="57"/>
    </w:pPr>
  </w:style>
  <w:style w:type="paragraph" w:styleId="930">
    <w:name w:val="toc 3"/>
    <w:basedOn w:val="939"/>
    <w:next w:val="939"/>
    <w:uiPriority w:val="39"/>
    <w:unhideWhenUsed/>
    <w:pPr>
      <w:ind w:left="567" w:right="0" w:firstLine="0"/>
      <w:spacing w:after="57"/>
    </w:pPr>
  </w:style>
  <w:style w:type="paragraph" w:styleId="931">
    <w:name w:val="toc 4"/>
    <w:basedOn w:val="939"/>
    <w:next w:val="939"/>
    <w:uiPriority w:val="39"/>
    <w:unhideWhenUsed/>
    <w:pPr>
      <w:ind w:left="850" w:right="0" w:firstLine="0"/>
      <w:spacing w:after="57"/>
    </w:pPr>
  </w:style>
  <w:style w:type="paragraph" w:styleId="932">
    <w:name w:val="toc 5"/>
    <w:basedOn w:val="939"/>
    <w:next w:val="939"/>
    <w:uiPriority w:val="39"/>
    <w:unhideWhenUsed/>
    <w:pPr>
      <w:ind w:left="1134" w:right="0" w:firstLine="0"/>
      <w:spacing w:after="57"/>
    </w:pPr>
  </w:style>
  <w:style w:type="paragraph" w:styleId="933">
    <w:name w:val="toc 6"/>
    <w:basedOn w:val="939"/>
    <w:next w:val="939"/>
    <w:uiPriority w:val="39"/>
    <w:unhideWhenUsed/>
    <w:pPr>
      <w:ind w:left="1417" w:right="0" w:firstLine="0"/>
      <w:spacing w:after="57"/>
    </w:pPr>
  </w:style>
  <w:style w:type="paragraph" w:styleId="934">
    <w:name w:val="toc 7"/>
    <w:basedOn w:val="939"/>
    <w:next w:val="939"/>
    <w:uiPriority w:val="39"/>
    <w:unhideWhenUsed/>
    <w:pPr>
      <w:ind w:left="1701" w:right="0" w:firstLine="0"/>
      <w:spacing w:after="57"/>
    </w:pPr>
  </w:style>
  <w:style w:type="paragraph" w:styleId="935">
    <w:name w:val="toc 8"/>
    <w:basedOn w:val="939"/>
    <w:next w:val="939"/>
    <w:uiPriority w:val="39"/>
    <w:unhideWhenUsed/>
    <w:pPr>
      <w:ind w:left="1984" w:right="0" w:firstLine="0"/>
      <w:spacing w:after="57"/>
    </w:pPr>
  </w:style>
  <w:style w:type="paragraph" w:styleId="936">
    <w:name w:val="toc 9"/>
    <w:basedOn w:val="939"/>
    <w:next w:val="939"/>
    <w:uiPriority w:val="39"/>
    <w:unhideWhenUsed/>
    <w:pPr>
      <w:ind w:left="2268" w:right="0" w:firstLine="0"/>
      <w:spacing w:after="57"/>
    </w:pPr>
  </w:style>
  <w:style w:type="paragraph" w:styleId="937">
    <w:name w:val="TOC Heading"/>
    <w:uiPriority w:val="39"/>
    <w:unhideWhenUsed/>
  </w:style>
  <w:style w:type="paragraph" w:styleId="938">
    <w:name w:val="table of figures"/>
    <w:basedOn w:val="939"/>
    <w:next w:val="939"/>
    <w:uiPriority w:val="99"/>
    <w:unhideWhenUsed/>
    <w:pPr>
      <w:spacing w:after="0" w:afterAutospacing="0"/>
    </w:pPr>
  </w:style>
  <w:style w:type="paragraph" w:styleId="939" w:default="1">
    <w:name w:val="Normal"/>
    <w:next w:val="939"/>
    <w:link w:val="939"/>
    <w:qFormat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940">
    <w:name w:val="Заголовок 1"/>
    <w:basedOn w:val="939"/>
    <w:next w:val="939"/>
    <w:link w:val="944"/>
    <w:uiPriority w:val="9"/>
    <w:qFormat/>
    <w:pPr>
      <w:keepNext/>
      <w:outlineLvl w:val="0"/>
    </w:pPr>
    <w:rPr>
      <w:lang w:val="en-US"/>
    </w:rPr>
  </w:style>
  <w:style w:type="character" w:styleId="941">
    <w:name w:val="Основной шрифт абзаца"/>
    <w:next w:val="941"/>
    <w:link w:val="939"/>
    <w:uiPriority w:val="1"/>
    <w:semiHidden/>
    <w:unhideWhenUsed/>
  </w:style>
  <w:style w:type="table" w:styleId="942">
    <w:name w:val="Обычная таблица"/>
    <w:next w:val="942"/>
    <w:link w:val="939"/>
    <w:uiPriority w:val="99"/>
    <w:semiHidden/>
    <w:unhideWhenUsed/>
    <w:qFormat/>
    <w:tblPr/>
  </w:style>
  <w:style w:type="numbering" w:styleId="943">
    <w:name w:val="Нет списка"/>
    <w:next w:val="943"/>
    <w:link w:val="939"/>
    <w:uiPriority w:val="99"/>
    <w:semiHidden/>
    <w:unhideWhenUsed/>
  </w:style>
  <w:style w:type="character" w:styleId="944">
    <w:name w:val="Заголовок 1 Знак"/>
    <w:next w:val="944"/>
    <w:link w:val="940"/>
    <w:uiPriority w:val="9"/>
    <w:rPr>
      <w:rFonts w:ascii="Times New Roman" w:hAnsi="Times New Roman" w:cs="Times New Roman"/>
      <w:sz w:val="24"/>
      <w:szCs w:val="24"/>
      <w:lang w:eastAsia="ru-RU"/>
    </w:rPr>
  </w:style>
  <w:style w:type="paragraph" w:styleId="945">
    <w:name w:val="Основной текст 2"/>
    <w:basedOn w:val="939"/>
    <w:next w:val="945"/>
    <w:link w:val="946"/>
    <w:uiPriority w:val="99"/>
    <w:pPr>
      <w:jc w:val="both"/>
      <w:spacing w:line="360" w:lineRule="auto"/>
    </w:pPr>
    <w:rPr>
      <w:lang w:val="en-US"/>
    </w:rPr>
  </w:style>
  <w:style w:type="character" w:styleId="946">
    <w:name w:val="Основной текст 2 Знак"/>
    <w:next w:val="946"/>
    <w:link w:val="945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947">
    <w:name w:val="ConsNonformat"/>
    <w:next w:val="947"/>
    <w:link w:val="939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948">
    <w:name w:val="ConsPlusNormal"/>
    <w:next w:val="948"/>
    <w:link w:val="939"/>
    <w:pPr>
      <w:ind w:firstLine="720"/>
    </w:pPr>
    <w:rPr>
      <w:rFonts w:ascii="Arial" w:hAnsi="Arial" w:cs="Arial"/>
      <w:lang w:val="ru-RU" w:eastAsia="ru-RU" w:bidi="ar-SA"/>
    </w:rPr>
  </w:style>
  <w:style w:type="paragraph" w:styleId="949">
    <w:name w:val="ConsPlusTitle"/>
    <w:next w:val="949"/>
    <w:link w:val="939"/>
    <w:rPr>
      <w:rFonts w:ascii="Times New Roman" w:hAnsi="Times New Roman" w:cs="Times New Roman"/>
      <w:b/>
      <w:bCs/>
      <w:sz w:val="24"/>
      <w:szCs w:val="24"/>
      <w:lang w:val="ru-RU" w:eastAsia="ru-RU" w:bidi="ar-SA"/>
    </w:rPr>
  </w:style>
  <w:style w:type="paragraph" w:styleId="950">
    <w:name w:val="Верхний колонтитул"/>
    <w:basedOn w:val="939"/>
    <w:next w:val="950"/>
    <w:link w:val="951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51">
    <w:name w:val="Верхний колонтитул Знак"/>
    <w:next w:val="951"/>
    <w:link w:val="950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952">
    <w:name w:val="Номер страницы"/>
    <w:next w:val="952"/>
    <w:link w:val="939"/>
    <w:rPr>
      <w:rFonts w:cs="Times New Roman"/>
    </w:rPr>
  </w:style>
  <w:style w:type="paragraph" w:styleId="953">
    <w:name w:val="ConsPlusNonformat"/>
    <w:next w:val="953"/>
    <w:link w:val="939"/>
    <w:uiPriority w:val="99"/>
    <w:rPr>
      <w:rFonts w:ascii="Courier New" w:hAnsi="Courier New" w:cs="Courier New"/>
      <w:lang w:val="ru-RU" w:eastAsia="ru-RU" w:bidi="ar-SA"/>
    </w:rPr>
  </w:style>
  <w:style w:type="paragraph" w:styleId="954">
    <w:name w:val="Знак Знак Char Char Char Char Char Знак Знак"/>
    <w:basedOn w:val="939"/>
    <w:next w:val="954"/>
    <w:link w:val="939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955">
    <w:name w:val="Основной текст с отступом"/>
    <w:basedOn w:val="939"/>
    <w:next w:val="955"/>
    <w:link w:val="956"/>
    <w:uiPriority w:val="99"/>
    <w:semiHidden/>
    <w:pPr>
      <w:ind w:firstLine="540"/>
      <w:jc w:val="both"/>
    </w:pPr>
    <w:rPr>
      <w:lang w:val="en-US"/>
    </w:rPr>
  </w:style>
  <w:style w:type="character" w:styleId="956">
    <w:name w:val="Основной текст с отступом Знак"/>
    <w:next w:val="956"/>
    <w:link w:val="955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paragraph" w:styleId="957">
    <w:name w:val="Основной текст с отступом 2"/>
    <w:basedOn w:val="939"/>
    <w:next w:val="957"/>
    <w:link w:val="958"/>
    <w:uiPriority w:val="99"/>
    <w:semiHidden/>
    <w:pPr>
      <w:ind w:firstLine="720"/>
      <w:jc w:val="both"/>
      <w:spacing w:line="360" w:lineRule="auto"/>
    </w:pPr>
    <w:rPr>
      <w:lang w:val="en-US"/>
    </w:rPr>
  </w:style>
  <w:style w:type="character" w:styleId="958">
    <w:name w:val="Основной текст с отступом 2 Знак"/>
    <w:next w:val="958"/>
    <w:link w:val="957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paragraph" w:styleId="959">
    <w:name w:val="ConsPlusCell"/>
    <w:next w:val="959"/>
    <w:link w:val="939"/>
    <w:pPr>
      <w:widowControl w:val="off"/>
    </w:pPr>
    <w:rPr>
      <w:rFonts w:ascii="Arial" w:hAnsi="Arial" w:cs="Arial"/>
      <w:lang w:val="ru-RU" w:eastAsia="ru-RU" w:bidi="ar-SA"/>
    </w:rPr>
  </w:style>
  <w:style w:type="paragraph" w:styleId="960">
    <w:name w:val="Основной текст с отступом 3"/>
    <w:basedOn w:val="939"/>
    <w:next w:val="960"/>
    <w:link w:val="961"/>
    <w:uiPriority w:val="99"/>
    <w:semiHidden/>
    <w:unhideWhenUsed/>
    <w:pPr>
      <w:ind w:left="283"/>
      <w:spacing w:after="120"/>
    </w:pPr>
    <w:rPr>
      <w:sz w:val="16"/>
      <w:szCs w:val="16"/>
      <w:lang w:val="en-US"/>
    </w:rPr>
  </w:style>
  <w:style w:type="character" w:styleId="961">
    <w:name w:val="Основной текст с отступом 3 Знак"/>
    <w:next w:val="961"/>
    <w:link w:val="960"/>
    <w:uiPriority w:val="99"/>
    <w:semiHidden/>
    <w:rPr>
      <w:rFonts w:ascii="Times New Roman" w:hAnsi="Times New Roman" w:cs="Times New Roman"/>
      <w:sz w:val="16"/>
      <w:szCs w:val="16"/>
      <w:lang w:eastAsia="ru-RU"/>
    </w:rPr>
  </w:style>
  <w:style w:type="paragraph" w:styleId="962">
    <w:name w:val="ConsNormal"/>
    <w:next w:val="962"/>
    <w:link w:val="93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63">
    <w:name w:val="ConsCell"/>
    <w:next w:val="963"/>
    <w:link w:val="939"/>
    <w:pPr>
      <w:widowControl w:val="off"/>
    </w:pPr>
    <w:rPr>
      <w:rFonts w:ascii="Arial" w:hAnsi="Arial" w:cs="Arial"/>
      <w:lang w:val="ru-RU" w:eastAsia="ru-RU" w:bidi="ar-SA"/>
    </w:rPr>
  </w:style>
  <w:style w:type="paragraph" w:styleId="964">
    <w:name w:val="Заголовок"/>
    <w:basedOn w:val="939"/>
    <w:next w:val="965"/>
    <w:link w:val="939"/>
    <w:uiPriority w:val="99"/>
    <w:pPr>
      <w:keepNext/>
      <w:spacing w:before="240" w:after="120"/>
    </w:pPr>
    <w:rPr>
      <w:rFonts w:ascii="Arial" w:hAnsi="Arial" w:eastAsia="MS Mincho" w:cs="Arial"/>
      <w:sz w:val="28"/>
      <w:szCs w:val="28"/>
      <w:lang w:eastAsia="ar-SA"/>
    </w:rPr>
  </w:style>
  <w:style w:type="paragraph" w:styleId="965">
    <w:name w:val="Основной текст"/>
    <w:basedOn w:val="939"/>
    <w:next w:val="965"/>
    <w:link w:val="966"/>
    <w:uiPriority w:val="99"/>
    <w:semiHidden/>
    <w:unhideWhenUsed/>
    <w:pPr>
      <w:spacing w:after="120"/>
    </w:pPr>
    <w:rPr>
      <w:lang w:val="en-US"/>
    </w:rPr>
  </w:style>
  <w:style w:type="character" w:styleId="966">
    <w:name w:val="Основной текст Знак"/>
    <w:next w:val="966"/>
    <w:link w:val="965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paragraph" w:styleId="967">
    <w:name w:val="Текст выноски"/>
    <w:basedOn w:val="939"/>
    <w:next w:val="967"/>
    <w:link w:val="968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968">
    <w:name w:val="Текст выноски Знак"/>
    <w:next w:val="968"/>
    <w:link w:val="96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969">
    <w:name w:val="Нижний колонтитул"/>
    <w:basedOn w:val="939"/>
    <w:next w:val="969"/>
    <w:link w:val="97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70">
    <w:name w:val="Нижний колонтитул Знак"/>
    <w:next w:val="970"/>
    <w:link w:val="969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971">
    <w:name w:val="Основной текст + Полужирный"/>
    <w:next w:val="971"/>
    <w:link w:val="939"/>
    <w:rPr>
      <w:rFonts w:ascii="Times New Roman" w:hAnsi="Times New Roman"/>
      <w:b/>
      <w:color w:val="000000"/>
      <w:spacing w:val="0"/>
      <w:position w:val="0"/>
      <w:sz w:val="26"/>
      <w:u w:val="none"/>
      <w:lang w:val="ru-RU"/>
    </w:rPr>
  </w:style>
  <w:style w:type="character" w:styleId="972">
    <w:name w:val="Гиперссылка"/>
    <w:next w:val="972"/>
    <w:link w:val="939"/>
    <w:uiPriority w:val="99"/>
    <w:unhideWhenUsed/>
    <w:rPr>
      <w:rFonts w:cs="Times New Roman"/>
      <w:color w:val="0000ff"/>
      <w:u w:val="single"/>
    </w:rPr>
  </w:style>
  <w:style w:type="paragraph" w:styleId="973">
    <w:name w:val="Абзац списка"/>
    <w:basedOn w:val="939"/>
    <w:next w:val="973"/>
    <w:link w:val="939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74">
    <w:name w:val="Без интервала"/>
    <w:next w:val="974"/>
    <w:link w:val="939"/>
    <w:uiPriority w:val="1"/>
    <w:qFormat/>
    <w:rPr>
      <w:rFonts w:cs="Times New Roman"/>
      <w:sz w:val="22"/>
      <w:szCs w:val="22"/>
      <w:lang w:val="ru-RU" w:eastAsia="en-US" w:bidi="ar-SA"/>
    </w:rPr>
  </w:style>
  <w:style w:type="numbering" w:styleId="975">
    <w:name w:val="Нет списка1"/>
    <w:next w:val="943"/>
    <w:link w:val="939"/>
    <w:uiPriority w:val="99"/>
    <w:semiHidden/>
    <w:unhideWhenUsed/>
  </w:style>
  <w:style w:type="table" w:styleId="976">
    <w:name w:val="Сетка таблицы"/>
    <w:basedOn w:val="942"/>
    <w:next w:val="976"/>
    <w:link w:val="939"/>
    <w:uiPriority w:val="59"/>
    <w:rPr>
      <w:rFonts w:cs="Times New Roman"/>
    </w:rPr>
    <w:tblPr/>
  </w:style>
  <w:style w:type="paragraph" w:styleId="977">
    <w:name w:val="ConsPlusTitlePage"/>
    <w:next w:val="977"/>
    <w:link w:val="939"/>
    <w:pPr>
      <w:widowControl w:val="off"/>
    </w:pPr>
    <w:rPr>
      <w:rFonts w:ascii="Tahoma" w:hAnsi="Tahoma" w:cs="Tahoma"/>
      <w:lang w:val="ru-RU" w:eastAsia="ru-RU" w:bidi="ar-SA"/>
    </w:rPr>
  </w:style>
  <w:style w:type="numbering" w:styleId="978">
    <w:name w:val="Нет списка2"/>
    <w:next w:val="943"/>
    <w:link w:val="939"/>
    <w:uiPriority w:val="99"/>
    <w:semiHidden/>
    <w:unhideWhenUsed/>
  </w:style>
  <w:style w:type="character" w:styleId="979">
    <w:name w:val="Просмотренная гиперссылка"/>
    <w:next w:val="979"/>
    <w:link w:val="939"/>
    <w:uiPriority w:val="99"/>
    <w:semiHidden/>
    <w:unhideWhenUsed/>
    <w:rPr>
      <w:color w:val="800080"/>
      <w:u w:val="single"/>
    </w:rPr>
  </w:style>
  <w:style w:type="paragraph" w:styleId="980">
    <w:name w:val="xl65"/>
    <w:basedOn w:val="939"/>
    <w:next w:val="980"/>
    <w:link w:val="9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1">
    <w:name w:val="xl66"/>
    <w:basedOn w:val="939"/>
    <w:next w:val="981"/>
    <w:link w:val="9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982">
    <w:name w:val="xl67"/>
    <w:basedOn w:val="939"/>
    <w:next w:val="982"/>
    <w:link w:val="9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3">
    <w:name w:val="xl68"/>
    <w:basedOn w:val="939"/>
    <w:next w:val="983"/>
    <w:link w:val="9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4">
    <w:name w:val="xl69"/>
    <w:basedOn w:val="939"/>
    <w:next w:val="984"/>
    <w:link w:val="9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5">
    <w:name w:val="xl70"/>
    <w:basedOn w:val="939"/>
    <w:next w:val="985"/>
    <w:link w:val="9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986">
    <w:name w:val="xl71"/>
    <w:basedOn w:val="939"/>
    <w:next w:val="986"/>
    <w:link w:val="9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7">
    <w:name w:val="xl72"/>
    <w:basedOn w:val="939"/>
    <w:next w:val="987"/>
    <w:link w:val="939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8">
    <w:name w:val="xl73"/>
    <w:basedOn w:val="939"/>
    <w:next w:val="988"/>
    <w:link w:val="939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9">
    <w:name w:val="xl74"/>
    <w:basedOn w:val="939"/>
    <w:next w:val="989"/>
    <w:link w:val="9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90">
    <w:name w:val="xl75"/>
    <w:basedOn w:val="939"/>
    <w:next w:val="990"/>
    <w:link w:val="9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91">
    <w:name w:val="xl76"/>
    <w:basedOn w:val="939"/>
    <w:next w:val="991"/>
    <w:link w:val="9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92">
    <w:name w:val="font5"/>
    <w:basedOn w:val="939"/>
    <w:next w:val="992"/>
    <w:link w:val="939"/>
    <w:pPr>
      <w:spacing w:before="100" w:beforeAutospacing="1" w:after="100" w:afterAutospacing="1"/>
    </w:pPr>
    <w:rPr>
      <w:color w:val="000000"/>
      <w:sz w:val="22"/>
      <w:szCs w:val="22"/>
    </w:rPr>
  </w:style>
  <w:style w:type="paragraph" w:styleId="993">
    <w:name w:val="font6"/>
    <w:basedOn w:val="939"/>
    <w:next w:val="993"/>
    <w:link w:val="939"/>
    <w:pPr>
      <w:spacing w:before="100" w:beforeAutospacing="1" w:after="100" w:afterAutospacing="1"/>
    </w:pPr>
    <w:rPr>
      <w:color w:val="000000"/>
    </w:rPr>
  </w:style>
  <w:style w:type="paragraph" w:styleId="994">
    <w:name w:val="xl77"/>
    <w:basedOn w:val="939"/>
    <w:next w:val="994"/>
    <w:link w:val="939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95">
    <w:name w:val="xl78"/>
    <w:basedOn w:val="939"/>
    <w:next w:val="995"/>
    <w:link w:val="9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96">
    <w:name w:val="xl79"/>
    <w:basedOn w:val="939"/>
    <w:next w:val="996"/>
    <w:link w:val="939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997">
    <w:name w:val="xl80"/>
    <w:basedOn w:val="939"/>
    <w:next w:val="997"/>
    <w:link w:val="93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8">
    <w:name w:val="xl81"/>
    <w:basedOn w:val="939"/>
    <w:next w:val="998"/>
    <w:link w:val="93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9">
    <w:name w:val="xl82"/>
    <w:basedOn w:val="939"/>
    <w:next w:val="999"/>
    <w:link w:val="939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0">
    <w:name w:val="xl83"/>
    <w:basedOn w:val="939"/>
    <w:next w:val="1000"/>
    <w:link w:val="9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01">
    <w:name w:val="xl84"/>
    <w:basedOn w:val="939"/>
    <w:next w:val="1001"/>
    <w:link w:val="939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1002">
    <w:name w:val="xl85"/>
    <w:basedOn w:val="939"/>
    <w:next w:val="1002"/>
    <w:link w:val="939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3">
    <w:name w:val="xl86"/>
    <w:basedOn w:val="939"/>
    <w:next w:val="1003"/>
    <w:link w:val="9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</w:rPr>
  </w:style>
  <w:style w:type="paragraph" w:styleId="1004">
    <w:name w:val="xl87"/>
    <w:basedOn w:val="939"/>
    <w:next w:val="1004"/>
    <w:link w:val="939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05">
    <w:name w:val="xl88"/>
    <w:basedOn w:val="939"/>
    <w:next w:val="1005"/>
    <w:link w:val="9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character" w:styleId="1006" w:default="1">
    <w:name w:val="Default Paragraph Font"/>
    <w:uiPriority w:val="1"/>
    <w:semiHidden/>
    <w:unhideWhenUsed/>
  </w:style>
  <w:style w:type="numbering" w:styleId="1007" w:default="1">
    <w:name w:val="No List"/>
    <w:uiPriority w:val="99"/>
    <w:semiHidden/>
    <w:unhideWhenUsed/>
  </w:style>
  <w:style w:type="table" w:styleId="100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Левковский Дмитрий Павлович</dc:creator>
  <cp:revision>18</cp:revision>
  <dcterms:created xsi:type="dcterms:W3CDTF">2022-11-28T10:07:00Z</dcterms:created>
  <dcterms:modified xsi:type="dcterms:W3CDTF">2023-11-20T04:11:50Z</dcterms:modified>
  <cp:version>786432</cp:version>
</cp:coreProperties>
</file>